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00C" w14:textId="77777777" w:rsidR="000F695A" w:rsidRDefault="00000000">
      <w:pPr>
        <w:autoSpaceDE w:val="0"/>
        <w:autoSpaceDN w:val="0"/>
        <w:adjustRightInd w:val="0"/>
        <w:jc w:val="center"/>
        <w:rPr>
          <w:rFonts w:ascii="黑体" w:eastAsia="黑体" w:hAnsi="黑体" w:cs="Times New Roman" w:hint="eastAsia"/>
          <w:bCs/>
          <w:sz w:val="28"/>
          <w:szCs w:val="24"/>
          <w14:ligatures w14:val="none"/>
        </w:rPr>
      </w:pPr>
      <w:r>
        <w:rPr>
          <w:rFonts w:ascii="黑体" w:eastAsia="黑体" w:hAnsi="黑体" w:cs="Times New Roman" w:hint="eastAsia"/>
          <w:bCs/>
          <w:sz w:val="28"/>
          <w:szCs w:val="24"/>
          <w14:ligatures w14:val="none"/>
        </w:rPr>
        <w:t>2026年中国大学生机械工程创新创意大赛——包装与食品工程创新创意赛</w:t>
      </w:r>
    </w:p>
    <w:p w14:paraId="2861E47F" w14:textId="77777777" w:rsidR="000F695A" w:rsidRDefault="00000000">
      <w:pPr>
        <w:autoSpaceDE w:val="0"/>
        <w:autoSpaceDN w:val="0"/>
        <w:adjustRightInd w:val="0"/>
        <w:spacing w:afterLines="50" w:after="156"/>
        <w:jc w:val="center"/>
        <w:rPr>
          <w:rFonts w:ascii="黑体" w:eastAsia="黑体" w:hAnsi="黑体" w:cs="Times New Roman" w:hint="eastAsia"/>
          <w:bCs/>
          <w:sz w:val="28"/>
          <w:szCs w:val="24"/>
          <w14:ligatures w14:val="none"/>
        </w:rPr>
      </w:pPr>
      <w:r>
        <w:rPr>
          <w:rFonts w:ascii="黑体" w:eastAsia="黑体" w:hAnsi="黑体" w:cs="Times New Roman" w:hint="eastAsia"/>
          <w:bCs/>
          <w:sz w:val="28"/>
          <w:szCs w:val="24"/>
          <w14:ligatures w14:val="none"/>
        </w:rPr>
        <w:t>揭榜挂帅类企业指定命题</w:t>
      </w:r>
    </w:p>
    <w:tbl>
      <w:tblPr>
        <w:tblStyle w:val="ac"/>
        <w:tblW w:w="5000" w:type="pct"/>
        <w:jc w:val="center"/>
        <w:tblLook w:val="04A0" w:firstRow="1" w:lastRow="0" w:firstColumn="1" w:lastColumn="0" w:noHBand="0" w:noVBand="1"/>
      </w:tblPr>
      <w:tblGrid>
        <w:gridCol w:w="1543"/>
        <w:gridCol w:w="2320"/>
        <w:gridCol w:w="1581"/>
        <w:gridCol w:w="4292"/>
      </w:tblGrid>
      <w:tr w:rsidR="000F695A" w14:paraId="4B2C8768" w14:textId="77777777">
        <w:trPr>
          <w:trHeight w:val="577"/>
          <w:jc w:val="center"/>
        </w:trPr>
        <w:tc>
          <w:tcPr>
            <w:tcW w:w="792" w:type="pct"/>
            <w:vAlign w:val="center"/>
          </w:tcPr>
          <w:p w14:paraId="75C6CA09"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191" w:type="pct"/>
            <w:vAlign w:val="center"/>
          </w:tcPr>
          <w:p w14:paraId="6641A9F0"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KY202603</w:t>
            </w:r>
          </w:p>
        </w:tc>
        <w:tc>
          <w:tcPr>
            <w:tcW w:w="812" w:type="pct"/>
            <w:vAlign w:val="center"/>
          </w:tcPr>
          <w:p w14:paraId="002140F8"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2204" w:type="pct"/>
            <w:vAlign w:val="center"/>
          </w:tcPr>
          <w:p w14:paraId="16C62956" w14:textId="77777777" w:rsidR="000F695A" w:rsidRDefault="00000000">
            <w:pPr>
              <w:adjustRightInd w:val="0"/>
              <w:snapToGrid w:val="0"/>
              <w:spacing w:line="360" w:lineRule="exact"/>
              <w:jc w:val="center"/>
              <w:rPr>
                <w:rFonts w:ascii="仿宋" w:eastAsia="仿宋" w:hAnsi="仿宋" w:cs="Times New Roman" w:hint="eastAsia"/>
                <w:sz w:val="24"/>
                <w:szCs w:val="24"/>
              </w:rPr>
            </w:pPr>
            <w:proofErr w:type="gramStart"/>
            <w:r>
              <w:rPr>
                <w:rFonts w:ascii="仿宋" w:eastAsia="仿宋" w:hAnsi="仿宋" w:cs="Times New Roman" w:hint="eastAsia"/>
                <w:sz w:val="24"/>
                <w:szCs w:val="24"/>
              </w:rPr>
              <w:t>膨化机</w:t>
            </w:r>
            <w:proofErr w:type="gramEnd"/>
            <w:r>
              <w:rPr>
                <w:rFonts w:ascii="仿宋" w:eastAsia="仿宋" w:hAnsi="仿宋" w:cs="Times New Roman" w:hint="eastAsia"/>
                <w:sz w:val="24"/>
                <w:szCs w:val="24"/>
              </w:rPr>
              <w:t>挤压螺旋材料耐磨技术</w:t>
            </w:r>
          </w:p>
        </w:tc>
      </w:tr>
      <w:tr w:rsidR="000F695A" w14:paraId="4B2E8889" w14:textId="77777777">
        <w:trPr>
          <w:trHeight w:val="839"/>
          <w:jc w:val="center"/>
        </w:trPr>
        <w:tc>
          <w:tcPr>
            <w:tcW w:w="792" w:type="pct"/>
            <w:vAlign w:val="center"/>
          </w:tcPr>
          <w:p w14:paraId="06538DB6"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命题企业</w:t>
            </w:r>
          </w:p>
        </w:tc>
        <w:tc>
          <w:tcPr>
            <w:tcW w:w="1191" w:type="pct"/>
            <w:vAlign w:val="center"/>
          </w:tcPr>
          <w:p w14:paraId="4E703E82" w14:textId="77777777" w:rsidR="000F695A" w:rsidRDefault="00000000">
            <w:pPr>
              <w:adjustRightInd w:val="0"/>
              <w:snapToGrid w:val="0"/>
              <w:spacing w:line="360" w:lineRule="exact"/>
              <w:jc w:val="center"/>
              <w:rPr>
                <w:rFonts w:ascii="仿宋" w:eastAsia="仿宋" w:hAnsi="仿宋" w:cs="Times New Roman" w:hint="eastAsia"/>
                <w:sz w:val="24"/>
                <w:szCs w:val="24"/>
              </w:rPr>
            </w:pPr>
            <w:proofErr w:type="gramStart"/>
            <w:r>
              <w:rPr>
                <w:rFonts w:ascii="仿宋" w:eastAsia="仿宋" w:hAnsi="仿宋" w:cs="Times New Roman" w:hint="eastAsia"/>
                <w:sz w:val="24"/>
                <w:szCs w:val="24"/>
              </w:rPr>
              <w:t>中机康元</w:t>
            </w:r>
            <w:proofErr w:type="gramEnd"/>
            <w:r>
              <w:rPr>
                <w:rFonts w:ascii="仿宋" w:eastAsia="仿宋" w:hAnsi="仿宋" w:cs="Times New Roman" w:hint="eastAsia"/>
                <w:sz w:val="24"/>
                <w:szCs w:val="24"/>
              </w:rPr>
              <w:t>粮油装备(北京)有限公司</w:t>
            </w:r>
          </w:p>
        </w:tc>
        <w:tc>
          <w:tcPr>
            <w:tcW w:w="812" w:type="pct"/>
            <w:vAlign w:val="center"/>
          </w:tcPr>
          <w:p w14:paraId="431ACE54"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2204" w:type="pct"/>
            <w:vAlign w:val="center"/>
          </w:tcPr>
          <w:p w14:paraId="766A42D4"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胡淑珍 研究员</w:t>
            </w:r>
          </w:p>
          <w:p w14:paraId="6592C8CF"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13522441277</w:t>
            </w:r>
          </w:p>
        </w:tc>
      </w:tr>
      <w:tr w:rsidR="000F695A" w14:paraId="2EC9F2DA" w14:textId="77777777">
        <w:trPr>
          <w:trHeight w:val="2255"/>
          <w:jc w:val="center"/>
        </w:trPr>
        <w:tc>
          <w:tcPr>
            <w:tcW w:w="792" w:type="pct"/>
            <w:tcBorders>
              <w:top w:val="single" w:sz="4" w:space="0" w:color="auto"/>
              <w:left w:val="single" w:sz="4" w:space="0" w:color="auto"/>
              <w:bottom w:val="single" w:sz="4" w:space="0" w:color="auto"/>
              <w:right w:val="single" w:sz="4" w:space="0" w:color="auto"/>
            </w:tcBorders>
            <w:vAlign w:val="center"/>
          </w:tcPr>
          <w:p w14:paraId="5338D9B8"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07" w:type="pct"/>
            <w:gridSpan w:val="3"/>
            <w:vAlign w:val="center"/>
          </w:tcPr>
          <w:p w14:paraId="6B9C0068" w14:textId="77777777" w:rsidR="000F695A" w:rsidRDefault="00000000">
            <w:pPr>
              <w:pStyle w:val="a9"/>
              <w:widowControl/>
              <w:spacing w:beforeAutospacing="1" w:afterAutospacing="1"/>
              <w:ind w:firstLineChars="200" w:firstLine="480"/>
              <w:rPr>
                <w:rFonts w:ascii="仿宋" w:eastAsia="仿宋" w:hAnsi="仿宋" w:cs="Times New Roman" w:hint="eastAsia"/>
                <w:szCs w:val="24"/>
              </w:rPr>
            </w:pPr>
            <w:r>
              <w:rPr>
                <w:rFonts w:ascii="仿宋" w:eastAsia="仿宋" w:hAnsi="仿宋" w:cs="Times New Roman" w:hint="eastAsia"/>
                <w:szCs w:val="24"/>
              </w:rPr>
              <w:t>油料挤压膨化机是现代油脂工业中的关键预处理设备，广泛应用于大豆、米糠等物料的预</w:t>
            </w:r>
            <w:proofErr w:type="gramStart"/>
            <w:r>
              <w:rPr>
                <w:rFonts w:ascii="仿宋" w:eastAsia="仿宋" w:hAnsi="仿宋" w:cs="Times New Roman" w:hint="eastAsia"/>
                <w:szCs w:val="24"/>
              </w:rPr>
              <w:t>榨</w:t>
            </w:r>
            <w:proofErr w:type="gramEnd"/>
            <w:r>
              <w:rPr>
                <w:rFonts w:ascii="仿宋" w:eastAsia="仿宋" w:hAnsi="仿宋" w:cs="Times New Roman" w:hint="eastAsia"/>
                <w:szCs w:val="24"/>
              </w:rPr>
              <w:t>浸出工艺。随着我国油料加工技术的持续改进与升级，部分企业已将花生、玉米胚芽等物料经一次压榨后得到的机</w:t>
            </w:r>
            <w:proofErr w:type="gramStart"/>
            <w:r>
              <w:rPr>
                <w:rFonts w:ascii="仿宋" w:eastAsia="仿宋" w:hAnsi="仿宋" w:cs="Times New Roman" w:hint="eastAsia"/>
                <w:szCs w:val="24"/>
              </w:rPr>
              <w:t>榨</w:t>
            </w:r>
            <w:proofErr w:type="gramEnd"/>
            <w:r>
              <w:rPr>
                <w:rFonts w:ascii="仿宋" w:eastAsia="仿宋" w:hAnsi="仿宋" w:cs="Times New Roman" w:hint="eastAsia"/>
                <w:szCs w:val="24"/>
              </w:rPr>
              <w:t>饼，通过二次膨化处理，以满足后续浸出工艺的要求。这一工艺变革对油料挤压膨化机的性能提出了更高挑战。经一次压榨和破碎后的机</w:t>
            </w:r>
            <w:proofErr w:type="gramStart"/>
            <w:r>
              <w:rPr>
                <w:rFonts w:ascii="仿宋" w:eastAsia="仿宋" w:hAnsi="仿宋" w:cs="Times New Roman" w:hint="eastAsia"/>
                <w:szCs w:val="24"/>
              </w:rPr>
              <w:t>榨</w:t>
            </w:r>
            <w:proofErr w:type="gramEnd"/>
            <w:r>
              <w:rPr>
                <w:rFonts w:ascii="仿宋" w:eastAsia="仿宋" w:hAnsi="仿宋" w:cs="Times New Roman" w:hint="eastAsia"/>
                <w:szCs w:val="24"/>
              </w:rPr>
              <w:t>饼呈块状，含水率≤5%，含油量约18%</w:t>
            </w:r>
            <w:r w:rsidRPr="00B23CFC">
              <w:rPr>
                <w:rFonts w:ascii="Times New Roman" w:eastAsia="仿宋" w:hAnsi="Times New Roman" w:cs="Times New Roman"/>
                <w:szCs w:val="24"/>
              </w:rPr>
              <w:t>~</w:t>
            </w:r>
            <w:r>
              <w:rPr>
                <w:rFonts w:ascii="仿宋" w:eastAsia="仿宋" w:hAnsi="仿宋" w:cs="Times New Roman" w:hint="eastAsia"/>
                <w:szCs w:val="24"/>
              </w:rPr>
              <w:t>20%，且富含纤维类物质。上述物料特性使得挤压螺旋在作业过程中承受极为苛刻的磨粒磨损与冲击磨损工况。传统挤压螺旋采用渗碳淬火工艺处理，在处理常规油料时尚可满足使用要求，但面对高含</w:t>
            </w:r>
            <w:proofErr w:type="gramStart"/>
            <w:r>
              <w:rPr>
                <w:rFonts w:ascii="仿宋" w:eastAsia="仿宋" w:hAnsi="仿宋" w:cs="Times New Roman" w:hint="eastAsia"/>
                <w:szCs w:val="24"/>
              </w:rPr>
              <w:t>纤</w:t>
            </w:r>
            <w:proofErr w:type="gramEnd"/>
            <w:r>
              <w:rPr>
                <w:rFonts w:ascii="仿宋" w:eastAsia="仿宋" w:hAnsi="仿宋" w:cs="Times New Roman" w:hint="eastAsia"/>
                <w:szCs w:val="24"/>
              </w:rPr>
              <w:t>、高硬度的机</w:t>
            </w:r>
            <w:proofErr w:type="gramStart"/>
            <w:r>
              <w:rPr>
                <w:rFonts w:ascii="仿宋" w:eastAsia="仿宋" w:hAnsi="仿宋" w:cs="Times New Roman" w:hint="eastAsia"/>
                <w:szCs w:val="24"/>
              </w:rPr>
              <w:t>榨</w:t>
            </w:r>
            <w:proofErr w:type="gramEnd"/>
            <w:r>
              <w:rPr>
                <w:rFonts w:ascii="仿宋" w:eastAsia="仿宋" w:hAnsi="仿宋" w:cs="Times New Roman" w:hint="eastAsia"/>
                <w:szCs w:val="24"/>
              </w:rPr>
              <w:t>饼时，其耐磨性能明显不足，使用寿命大幅缩短，难以适应新型工艺路线的稳定运行需求。因此，亟需针对机</w:t>
            </w:r>
            <w:proofErr w:type="gramStart"/>
            <w:r>
              <w:rPr>
                <w:rFonts w:ascii="仿宋" w:eastAsia="仿宋" w:hAnsi="仿宋" w:cs="Times New Roman" w:hint="eastAsia"/>
                <w:szCs w:val="24"/>
              </w:rPr>
              <w:t>榨</w:t>
            </w:r>
            <w:proofErr w:type="gramEnd"/>
            <w:r>
              <w:rPr>
                <w:rFonts w:ascii="仿宋" w:eastAsia="仿宋" w:hAnsi="仿宋" w:cs="Times New Roman" w:hint="eastAsia"/>
                <w:szCs w:val="24"/>
              </w:rPr>
              <w:t>饼二次膨化的特殊工况，</w:t>
            </w:r>
            <w:proofErr w:type="gramStart"/>
            <w:r>
              <w:rPr>
                <w:rFonts w:ascii="仿宋" w:eastAsia="仿宋" w:hAnsi="仿宋" w:cs="Times New Roman" w:hint="eastAsia"/>
                <w:szCs w:val="24"/>
              </w:rPr>
              <w:t>研发新型</w:t>
            </w:r>
            <w:proofErr w:type="gramEnd"/>
            <w:r>
              <w:rPr>
                <w:rFonts w:ascii="仿宋" w:eastAsia="仿宋" w:hAnsi="仿宋" w:cs="Times New Roman" w:hint="eastAsia"/>
                <w:szCs w:val="24"/>
              </w:rPr>
              <w:t>耐磨材料或引入表面热喷涂等先进强化技术，以有效提升挤压螺旋的耐磨性能与使用寿命，保障膨化设备在新型工艺路线下的高效、稳定运行。</w:t>
            </w:r>
          </w:p>
        </w:tc>
      </w:tr>
      <w:tr w:rsidR="000F695A" w14:paraId="0EE75B51" w14:textId="77777777">
        <w:trPr>
          <w:trHeight w:val="1057"/>
          <w:jc w:val="center"/>
        </w:trPr>
        <w:tc>
          <w:tcPr>
            <w:tcW w:w="792" w:type="pct"/>
            <w:tcBorders>
              <w:top w:val="single" w:sz="4" w:space="0" w:color="auto"/>
              <w:left w:val="single" w:sz="4" w:space="0" w:color="auto"/>
              <w:bottom w:val="single" w:sz="4" w:space="0" w:color="auto"/>
              <w:right w:val="single" w:sz="4" w:space="0" w:color="auto"/>
            </w:tcBorders>
            <w:vAlign w:val="center"/>
          </w:tcPr>
          <w:p w14:paraId="1476673F"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07" w:type="pct"/>
            <w:gridSpan w:val="3"/>
            <w:vAlign w:val="center"/>
          </w:tcPr>
          <w:p w14:paraId="1D638B65"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本命题旨在针对机</w:t>
            </w:r>
            <w:proofErr w:type="gramStart"/>
            <w:r>
              <w:rPr>
                <w:rFonts w:ascii="仿宋" w:eastAsia="仿宋" w:hAnsi="仿宋" w:cs="Times New Roman" w:hint="eastAsia"/>
                <w:sz w:val="24"/>
                <w:szCs w:val="24"/>
              </w:rPr>
              <w:t>榨</w:t>
            </w:r>
            <w:proofErr w:type="gramEnd"/>
            <w:r>
              <w:rPr>
                <w:rFonts w:ascii="仿宋" w:eastAsia="仿宋" w:hAnsi="仿宋" w:cs="Times New Roman" w:hint="eastAsia"/>
                <w:sz w:val="24"/>
                <w:szCs w:val="24"/>
              </w:rPr>
              <w:t>饼二次膨化工况，研发基于热喷涂/新型耐磨材料的挤压螺旋表面强化与寿命提升技术。</w:t>
            </w:r>
          </w:p>
        </w:tc>
      </w:tr>
      <w:tr w:rsidR="000F695A" w14:paraId="79B7D2A0" w14:textId="77777777">
        <w:trPr>
          <w:trHeight w:val="1182"/>
          <w:jc w:val="center"/>
        </w:trPr>
        <w:tc>
          <w:tcPr>
            <w:tcW w:w="792" w:type="pct"/>
            <w:tcBorders>
              <w:top w:val="single" w:sz="4" w:space="0" w:color="auto"/>
              <w:left w:val="single" w:sz="4" w:space="0" w:color="auto"/>
              <w:bottom w:val="single" w:sz="4" w:space="0" w:color="auto"/>
              <w:right w:val="single" w:sz="4" w:space="0" w:color="auto"/>
            </w:tcBorders>
            <w:vAlign w:val="center"/>
          </w:tcPr>
          <w:p w14:paraId="5CA6D9B0"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07" w:type="pct"/>
            <w:gridSpan w:val="3"/>
            <w:vAlign w:val="center"/>
          </w:tcPr>
          <w:p w14:paraId="07FA15AC" w14:textId="37077DB4" w:rsidR="000F695A" w:rsidRDefault="00000000">
            <w:pPr>
              <w:adjustRightInd w:val="0"/>
              <w:snapToGrid w:val="0"/>
              <w:spacing w:line="360" w:lineRule="exact"/>
              <w:rPr>
                <w:rFonts w:ascii="仿宋" w:eastAsia="仿宋" w:hAnsi="仿宋" w:cs="Times New Roman" w:hint="eastAsia"/>
                <w:sz w:val="24"/>
                <w:szCs w:val="24"/>
              </w:rPr>
            </w:pPr>
            <w:r>
              <w:rPr>
                <w:rFonts w:ascii="仿宋" w:eastAsia="仿宋" w:hAnsi="仿宋" w:cs="Times New Roman"/>
                <w:sz w:val="24"/>
                <w:szCs w:val="24"/>
              </w:rPr>
              <w:t>1.</w:t>
            </w:r>
            <w:r>
              <w:rPr>
                <w:rFonts w:ascii="仿宋" w:eastAsia="仿宋" w:hAnsi="仿宋" w:cs="Times New Roman" w:hint="eastAsia"/>
                <w:sz w:val="24"/>
                <w:szCs w:val="24"/>
              </w:rPr>
              <w:t>螺旋叶片表面硬度≥62</w:t>
            </w:r>
            <w:r w:rsidR="00B23CFC">
              <w:rPr>
                <w:rFonts w:ascii="仿宋" w:eastAsia="仿宋" w:hAnsi="仿宋" w:cs="Times New Roman" w:hint="eastAsia"/>
                <w:sz w:val="24"/>
                <w:szCs w:val="24"/>
              </w:rPr>
              <w:t xml:space="preserve"> </w:t>
            </w:r>
            <w:r>
              <w:rPr>
                <w:rFonts w:ascii="仿宋" w:eastAsia="仿宋" w:hAnsi="仿宋" w:cs="Times New Roman" w:hint="eastAsia"/>
                <w:sz w:val="24"/>
                <w:szCs w:val="24"/>
              </w:rPr>
              <w:t>HRC；</w:t>
            </w:r>
          </w:p>
          <w:p w14:paraId="40DA2010" w14:textId="356E272D" w:rsidR="000F695A" w:rsidRDefault="00000000">
            <w:pPr>
              <w:adjustRightInd w:val="0"/>
              <w:snapToGrid w:val="0"/>
              <w:spacing w:line="360" w:lineRule="exact"/>
              <w:rPr>
                <w:rFonts w:ascii="仿宋" w:eastAsia="仿宋" w:hAnsi="仿宋" w:cs="Times New Roman" w:hint="eastAsia"/>
                <w:sz w:val="24"/>
                <w:szCs w:val="24"/>
              </w:rPr>
            </w:pPr>
            <w:r>
              <w:rPr>
                <w:rFonts w:ascii="仿宋" w:eastAsia="仿宋" w:hAnsi="仿宋" w:cs="Times New Roman"/>
                <w:sz w:val="24"/>
                <w:szCs w:val="24"/>
              </w:rPr>
              <w:t>2.</w:t>
            </w:r>
            <w:r>
              <w:rPr>
                <w:rFonts w:ascii="仿宋" w:eastAsia="仿宋" w:hAnsi="仿宋" w:cs="Times New Roman" w:hint="eastAsia"/>
                <w:sz w:val="24"/>
                <w:szCs w:val="24"/>
              </w:rPr>
              <w:t>单位产量磨损率，每10000吨机</w:t>
            </w:r>
            <w:proofErr w:type="gramStart"/>
            <w:r>
              <w:rPr>
                <w:rFonts w:ascii="仿宋" w:eastAsia="仿宋" w:hAnsi="仿宋" w:cs="Times New Roman" w:hint="eastAsia"/>
                <w:sz w:val="24"/>
                <w:szCs w:val="24"/>
              </w:rPr>
              <w:t>榨</w:t>
            </w:r>
            <w:proofErr w:type="gramEnd"/>
            <w:r>
              <w:rPr>
                <w:rFonts w:ascii="仿宋" w:eastAsia="仿宋" w:hAnsi="仿宋" w:cs="Times New Roman" w:hint="eastAsia"/>
                <w:sz w:val="24"/>
                <w:szCs w:val="24"/>
              </w:rPr>
              <w:t>饼，每节螺旋叶片磨薄量≤0.2</w:t>
            </w:r>
            <w:r w:rsidR="00B23CFC">
              <w:rPr>
                <w:rFonts w:ascii="仿宋" w:eastAsia="仿宋" w:hAnsi="仿宋" w:cs="Times New Roman" w:hint="eastAsia"/>
                <w:sz w:val="24"/>
                <w:szCs w:val="24"/>
              </w:rPr>
              <w:t xml:space="preserve"> </w:t>
            </w:r>
            <w:r>
              <w:rPr>
                <w:rFonts w:ascii="仿宋" w:eastAsia="仿宋" w:hAnsi="仿宋" w:cs="Times New Roman" w:hint="eastAsia"/>
                <w:sz w:val="24"/>
                <w:szCs w:val="24"/>
              </w:rPr>
              <w:t>mm；也可以软件模拟分析得出螺旋叶片磨损相关支撑数据；</w:t>
            </w:r>
          </w:p>
          <w:p w14:paraId="0599D61D" w14:textId="3263BAF1" w:rsidR="000F695A" w:rsidRDefault="00000000">
            <w:p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3.与原膨化效果，粉末度等工艺指标无显著差异</w:t>
            </w:r>
            <w:r w:rsidR="00B23CFC">
              <w:rPr>
                <w:rFonts w:ascii="仿宋" w:eastAsia="仿宋" w:hAnsi="仿宋" w:cs="Times New Roman" w:hint="eastAsia"/>
                <w:sz w:val="24"/>
                <w:szCs w:val="24"/>
              </w:rPr>
              <w:t>。</w:t>
            </w:r>
          </w:p>
        </w:tc>
      </w:tr>
      <w:tr w:rsidR="000F695A" w14:paraId="1F228C4D" w14:textId="77777777">
        <w:trPr>
          <w:trHeight w:val="2004"/>
          <w:jc w:val="center"/>
        </w:trPr>
        <w:tc>
          <w:tcPr>
            <w:tcW w:w="792" w:type="pct"/>
            <w:tcBorders>
              <w:top w:val="single" w:sz="4" w:space="0" w:color="auto"/>
              <w:left w:val="single" w:sz="4" w:space="0" w:color="auto"/>
              <w:bottom w:val="single" w:sz="4" w:space="0" w:color="auto"/>
              <w:right w:val="single" w:sz="4" w:space="0" w:color="auto"/>
            </w:tcBorders>
            <w:vAlign w:val="center"/>
          </w:tcPr>
          <w:p w14:paraId="1C1837E4"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07" w:type="pct"/>
            <w:gridSpan w:val="3"/>
            <w:vAlign w:val="center"/>
          </w:tcPr>
          <w:p w14:paraId="6824F1BA"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作品</w:t>
            </w:r>
            <w:proofErr w:type="gramStart"/>
            <w:r>
              <w:rPr>
                <w:rFonts w:ascii="仿宋" w:eastAsia="仿宋" w:hAnsi="仿宋" w:cs="Times New Roman" w:hint="eastAsia"/>
                <w:sz w:val="24"/>
                <w:szCs w:val="24"/>
              </w:rPr>
              <w:t>需最终</w:t>
            </w:r>
            <w:proofErr w:type="gramEnd"/>
            <w:r>
              <w:rPr>
                <w:rFonts w:ascii="仿宋" w:eastAsia="仿宋" w:hAnsi="仿宋" w:cs="Times New Roman" w:hint="eastAsia"/>
                <w:sz w:val="24"/>
                <w:szCs w:val="24"/>
              </w:rPr>
              <w:t>提供如下成果，其中作品方案为必交项，其余成果为加分项。</w:t>
            </w:r>
          </w:p>
          <w:p w14:paraId="6C5A6CD8" w14:textId="77777777" w:rsidR="000F695A" w:rsidRDefault="00000000">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作品方案：记录项目的研究背景、技术实现、测量数据、实验结果及数据分析。</w:t>
            </w:r>
          </w:p>
          <w:p w14:paraId="640E9978" w14:textId="77777777" w:rsidR="000F695A" w:rsidRDefault="00000000">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图纸设计：完整的图纸设计。</w:t>
            </w:r>
          </w:p>
        </w:tc>
      </w:tr>
      <w:tr w:rsidR="000F695A" w14:paraId="153AA36C" w14:textId="77777777">
        <w:trPr>
          <w:trHeight w:val="612"/>
          <w:jc w:val="center"/>
        </w:trPr>
        <w:tc>
          <w:tcPr>
            <w:tcW w:w="792" w:type="pct"/>
            <w:tcBorders>
              <w:top w:val="single" w:sz="4" w:space="0" w:color="auto"/>
              <w:left w:val="single" w:sz="4" w:space="0" w:color="auto"/>
              <w:bottom w:val="single" w:sz="4" w:space="0" w:color="auto"/>
              <w:right w:val="single" w:sz="4" w:space="0" w:color="auto"/>
            </w:tcBorders>
            <w:vAlign w:val="center"/>
          </w:tcPr>
          <w:p w14:paraId="0B6D3B8B"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07" w:type="pct"/>
            <w:gridSpan w:val="3"/>
            <w:vAlign w:val="center"/>
          </w:tcPr>
          <w:p w14:paraId="7892079A" w14:textId="77777777" w:rsidR="000F695A" w:rsidRDefault="00000000">
            <w:pPr>
              <w:adjustRightInd w:val="0"/>
              <w:snapToGrid w:val="0"/>
              <w:spacing w:line="360" w:lineRule="exact"/>
              <w:ind w:firstLineChars="179" w:firstLine="430"/>
              <w:rPr>
                <w:rFonts w:ascii="仿宋" w:eastAsia="仿宋" w:hAnsi="仿宋" w:cs="Times New Roman" w:hint="eastAsia"/>
                <w:sz w:val="24"/>
                <w:szCs w:val="24"/>
              </w:rPr>
            </w:pPr>
            <w:r>
              <w:rPr>
                <w:rFonts w:ascii="仿宋" w:eastAsia="仿宋" w:hAnsi="仿宋" w:cs="Times New Roman" w:hint="eastAsia"/>
                <w:sz w:val="24"/>
                <w:szCs w:val="24"/>
              </w:rPr>
              <w:t>具体时间安排</w:t>
            </w:r>
            <w:proofErr w:type="gramStart"/>
            <w:r>
              <w:rPr>
                <w:rFonts w:ascii="仿宋" w:eastAsia="仿宋" w:hAnsi="仿宋" w:cs="Times New Roman" w:hint="eastAsia"/>
                <w:sz w:val="24"/>
                <w:szCs w:val="24"/>
              </w:rPr>
              <w:t>见大赛</w:t>
            </w:r>
            <w:proofErr w:type="gramEnd"/>
            <w:r>
              <w:rPr>
                <w:rFonts w:ascii="仿宋" w:eastAsia="仿宋" w:hAnsi="仿宋" w:cs="Times New Roman" w:hint="eastAsia"/>
                <w:sz w:val="24"/>
                <w:szCs w:val="24"/>
              </w:rPr>
              <w:t>公告。</w:t>
            </w:r>
          </w:p>
        </w:tc>
      </w:tr>
      <w:tr w:rsidR="000F695A" w14:paraId="0CC87AC2" w14:textId="77777777">
        <w:trPr>
          <w:trHeight w:val="2471"/>
          <w:jc w:val="center"/>
        </w:trPr>
        <w:tc>
          <w:tcPr>
            <w:tcW w:w="792" w:type="pct"/>
            <w:tcBorders>
              <w:top w:val="single" w:sz="4" w:space="0" w:color="auto"/>
              <w:left w:val="single" w:sz="4" w:space="0" w:color="auto"/>
              <w:bottom w:val="single" w:sz="4" w:space="0" w:color="auto"/>
              <w:right w:val="single" w:sz="4" w:space="0" w:color="auto"/>
            </w:tcBorders>
            <w:vAlign w:val="center"/>
          </w:tcPr>
          <w:p w14:paraId="059C1F1C"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lastRenderedPageBreak/>
              <w:t>其它要求</w:t>
            </w:r>
          </w:p>
        </w:tc>
        <w:tc>
          <w:tcPr>
            <w:tcW w:w="4207" w:type="pct"/>
            <w:gridSpan w:val="3"/>
            <w:vAlign w:val="center"/>
          </w:tcPr>
          <w:p w14:paraId="5162237A"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本项目建议团队成员应以具有相关专业背景。企业将为项目提供必要的技术支持，并解答相关技术问题。</w:t>
            </w:r>
          </w:p>
          <w:p w14:paraId="3CF7E2E7"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0F695A" w:rsidRDefault="000F695A">
      <w:pPr>
        <w:autoSpaceDE w:val="0"/>
        <w:autoSpaceDN w:val="0"/>
        <w:adjustRightInd w:val="0"/>
        <w:spacing w:afterLines="50" w:after="156"/>
        <w:jc w:val="center"/>
        <w:rPr>
          <w:rFonts w:hint="eastAsia"/>
        </w:rPr>
      </w:pPr>
    </w:p>
    <w:sectPr w:rsidR="000F695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6580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69"/>
    <w:rsid w:val="0007756A"/>
    <w:rsid w:val="00086E35"/>
    <w:rsid w:val="00092604"/>
    <w:rsid w:val="000B4EDE"/>
    <w:rsid w:val="000C269D"/>
    <w:rsid w:val="000D2649"/>
    <w:rsid w:val="000F695A"/>
    <w:rsid w:val="00132C4D"/>
    <w:rsid w:val="0017230C"/>
    <w:rsid w:val="001841BE"/>
    <w:rsid w:val="001D46B2"/>
    <w:rsid w:val="001D739C"/>
    <w:rsid w:val="001F2A09"/>
    <w:rsid w:val="0020043F"/>
    <w:rsid w:val="00211935"/>
    <w:rsid w:val="00237229"/>
    <w:rsid w:val="00254A9F"/>
    <w:rsid w:val="002A6243"/>
    <w:rsid w:val="002B186A"/>
    <w:rsid w:val="002C54CD"/>
    <w:rsid w:val="00304870"/>
    <w:rsid w:val="003551A2"/>
    <w:rsid w:val="00381525"/>
    <w:rsid w:val="003A10B5"/>
    <w:rsid w:val="003E5D84"/>
    <w:rsid w:val="003F0A65"/>
    <w:rsid w:val="00411742"/>
    <w:rsid w:val="00414A46"/>
    <w:rsid w:val="0042338E"/>
    <w:rsid w:val="00453D6A"/>
    <w:rsid w:val="00493CF0"/>
    <w:rsid w:val="004A580D"/>
    <w:rsid w:val="004D7AB2"/>
    <w:rsid w:val="00536E8E"/>
    <w:rsid w:val="00553972"/>
    <w:rsid w:val="005928D0"/>
    <w:rsid w:val="005C0B7C"/>
    <w:rsid w:val="005C1091"/>
    <w:rsid w:val="00626198"/>
    <w:rsid w:val="00653D59"/>
    <w:rsid w:val="00676AE8"/>
    <w:rsid w:val="00684758"/>
    <w:rsid w:val="00763F9D"/>
    <w:rsid w:val="00770236"/>
    <w:rsid w:val="00770F55"/>
    <w:rsid w:val="00795778"/>
    <w:rsid w:val="007C339F"/>
    <w:rsid w:val="008005D1"/>
    <w:rsid w:val="00812791"/>
    <w:rsid w:val="00835561"/>
    <w:rsid w:val="00843A1A"/>
    <w:rsid w:val="00847709"/>
    <w:rsid w:val="0087508D"/>
    <w:rsid w:val="00892C31"/>
    <w:rsid w:val="008B628B"/>
    <w:rsid w:val="008C0EF9"/>
    <w:rsid w:val="008F7DD3"/>
    <w:rsid w:val="0091277B"/>
    <w:rsid w:val="00946CF8"/>
    <w:rsid w:val="00957DB5"/>
    <w:rsid w:val="0096175F"/>
    <w:rsid w:val="00974B02"/>
    <w:rsid w:val="009C2C94"/>
    <w:rsid w:val="00A000B9"/>
    <w:rsid w:val="00A07061"/>
    <w:rsid w:val="00A5180C"/>
    <w:rsid w:val="00A54277"/>
    <w:rsid w:val="00A71F4A"/>
    <w:rsid w:val="00A8013A"/>
    <w:rsid w:val="00AA1416"/>
    <w:rsid w:val="00AB2417"/>
    <w:rsid w:val="00B23CFC"/>
    <w:rsid w:val="00B579E3"/>
    <w:rsid w:val="00BB33C3"/>
    <w:rsid w:val="00C14756"/>
    <w:rsid w:val="00C25369"/>
    <w:rsid w:val="00C6251F"/>
    <w:rsid w:val="00C62799"/>
    <w:rsid w:val="00C759FE"/>
    <w:rsid w:val="00C86514"/>
    <w:rsid w:val="00C94F5F"/>
    <w:rsid w:val="00C957F7"/>
    <w:rsid w:val="00CD47A6"/>
    <w:rsid w:val="00CE4D63"/>
    <w:rsid w:val="00D1068D"/>
    <w:rsid w:val="00D35E34"/>
    <w:rsid w:val="00D36B96"/>
    <w:rsid w:val="00D47976"/>
    <w:rsid w:val="00D8780C"/>
    <w:rsid w:val="00DA70BC"/>
    <w:rsid w:val="00DB2C13"/>
    <w:rsid w:val="00E152E6"/>
    <w:rsid w:val="00E21152"/>
    <w:rsid w:val="00E34CA5"/>
    <w:rsid w:val="00E50B41"/>
    <w:rsid w:val="00E71293"/>
    <w:rsid w:val="00E9069F"/>
    <w:rsid w:val="00EC4477"/>
    <w:rsid w:val="00EC578B"/>
    <w:rsid w:val="00EE5445"/>
    <w:rsid w:val="00EF3887"/>
    <w:rsid w:val="00F40214"/>
    <w:rsid w:val="00FB4220"/>
    <w:rsid w:val="00FF20D9"/>
    <w:rsid w:val="0C176CDC"/>
    <w:rsid w:val="0E2C7E32"/>
    <w:rsid w:val="102D6582"/>
    <w:rsid w:val="1D2920ED"/>
    <w:rsid w:val="1E04633A"/>
    <w:rsid w:val="25393E22"/>
    <w:rsid w:val="2F422FF1"/>
    <w:rsid w:val="35A8095F"/>
    <w:rsid w:val="36B6623F"/>
    <w:rsid w:val="39B609F3"/>
    <w:rsid w:val="3A117539"/>
    <w:rsid w:val="3D1D1280"/>
    <w:rsid w:val="3E4D34A1"/>
    <w:rsid w:val="3F1A3B01"/>
    <w:rsid w:val="3F641C09"/>
    <w:rsid w:val="4D491763"/>
    <w:rsid w:val="58506A80"/>
    <w:rsid w:val="5DBE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AE493"/>
  <w15:docId w15:val="{E47CCFCA-AC5F-423D-BB3A-737E0B64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rPr>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459</Words>
  <Characters>482</Characters>
  <Application>Microsoft Office Word</Application>
  <DocSecurity>0</DocSecurity>
  <Lines>26</Lines>
  <Paragraphs>28</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21</cp:revision>
  <cp:lastPrinted>2025-07-01T08:05:00Z</cp:lastPrinted>
  <dcterms:created xsi:type="dcterms:W3CDTF">2026-03-18T08:35:00Z</dcterms:created>
  <dcterms:modified xsi:type="dcterms:W3CDTF">2026-04-30T07:00:00Z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eyJoZGlkIjoiOTk2Y2JhYmIyZGY5NDhiMTAzODZmMDM5ZGM3YmU2ODMiLCJ1c2VySWQiOiIxNTIzOTAyMjI1In0=</vt:lpwstr>
  </property>
  <property fmtid="{D5CDD505-2E9C-101B-9397-08002B2CF9AE}" pid="3" name="KSOProductBuildVer">
    <vt:lpwstr>2052-12.1.0.25865</vt:lpwstr>
  </property>
  <property fmtid="{D5CDD505-2E9C-101B-9397-08002B2CF9AE}" pid="4" name="ICV">
    <vt:lpwstr>1C34E09E05084E41A633B4FE3E8F21F5_12</vt:lpwstr>
  </property>
</Properties>
</file>